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3EF" w:rsidRPr="009E568C" w:rsidRDefault="009E568C">
      <w:pPr>
        <w:jc w:val="center"/>
        <w:rPr>
          <w:b/>
          <w:bCs/>
          <w:caps/>
          <w:sz w:val="28"/>
          <w:szCs w:val="28"/>
          <w:lang w:val="ru-RU"/>
        </w:rPr>
      </w:pPr>
      <w:r w:rsidRPr="009E568C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DF73EF" w:rsidRPr="009E568C" w:rsidRDefault="009E568C">
      <w:pPr>
        <w:spacing w:before="283"/>
        <w:ind w:left="283" w:right="283"/>
        <w:jc w:val="center"/>
        <w:rPr>
          <w:b/>
          <w:bCs/>
          <w:lang w:val="ru-RU"/>
        </w:rPr>
      </w:pPr>
      <w:r w:rsidRPr="009E568C">
        <w:rPr>
          <w:b/>
          <w:bCs/>
          <w:lang w:val="ru-RU"/>
        </w:rPr>
        <w:t>Модернизация «Единой Информационно-аналитической системы»</w:t>
      </w:r>
    </w:p>
    <w:p w:rsidR="00DF73EF" w:rsidRDefault="009E568C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- 15.01.10015</w:t>
      </w:r>
    </w:p>
    <w:p w:rsidR="00DF73EF" w:rsidRDefault="009E568C">
      <w:pPr>
        <w:pStyle w:val="1"/>
        <w:numPr>
          <w:ilvl w:val="0"/>
          <w:numId w:val="1"/>
        </w:numPr>
      </w:pPr>
      <w:r>
        <w:t>ОПИСАНИЕ ИПКВ ИТ</w:t>
      </w:r>
    </w:p>
    <w:p w:rsidR="00DF73EF" w:rsidRDefault="009E568C">
      <w:pPr>
        <w:pStyle w:val="2"/>
        <w:numPr>
          <w:ilvl w:val="1"/>
          <w:numId w:val="1"/>
        </w:numPr>
      </w:pPr>
      <w:proofErr w:type="spellStart"/>
      <w:r>
        <w:t>Объект</w:t>
      </w:r>
      <w:proofErr w:type="spellEnd"/>
      <w:r>
        <w:t xml:space="preserve"> </w:t>
      </w:r>
      <w:proofErr w:type="spellStart"/>
      <w:r>
        <w:t>вложения</w:t>
      </w:r>
      <w:proofErr w:type="spellEnd"/>
      <w:r>
        <w:t xml:space="preserve"> </w:t>
      </w:r>
      <w:proofErr w:type="spellStart"/>
      <w:r>
        <w:t>средств</w:t>
      </w:r>
      <w:proofErr w:type="spellEnd"/>
    </w:p>
    <w:p w:rsidR="00DF73EF" w:rsidRDefault="009E568C">
      <w:r>
        <w:t>АО "Петербургская сбытовая компания"</w:t>
      </w:r>
    </w:p>
    <w:p w:rsidR="00DF73EF" w:rsidRDefault="009E568C">
      <w:pPr>
        <w:spacing w:before="283" w:after="283"/>
        <w:rPr>
          <w:b/>
          <w:bCs/>
        </w:rPr>
      </w:pPr>
      <w:proofErr w:type="spellStart"/>
      <w:r>
        <w:rPr>
          <w:b/>
          <w:bCs/>
        </w:rPr>
        <w:t>Объект</w:t>
      </w:r>
      <w:proofErr w:type="spellEnd"/>
      <w:r>
        <w:rPr>
          <w:b/>
          <w:bCs/>
        </w:rPr>
        <w:t xml:space="preserve"> ОС:</w:t>
      </w:r>
    </w:p>
    <w:p w:rsidR="00DF73EF" w:rsidRPr="009E568C" w:rsidRDefault="009E568C" w:rsidP="009E568C">
      <w:pPr>
        <w:jc w:val="both"/>
        <w:rPr>
          <w:lang w:val="ru-RU"/>
        </w:rPr>
      </w:pPr>
      <w:r w:rsidRPr="009E568C">
        <w:rPr>
          <w:lang w:val="ru-RU"/>
        </w:rPr>
        <w:t>АО «Петербургская сбытовая компания». Существующий НМА: «Единая информационно-аналитическая система»</w:t>
      </w:r>
    </w:p>
    <w:p w:rsidR="00DF73EF" w:rsidRDefault="009E568C" w:rsidP="009E568C">
      <w:pPr>
        <w:pStyle w:val="2"/>
        <w:numPr>
          <w:ilvl w:val="1"/>
          <w:numId w:val="1"/>
        </w:numPr>
        <w:jc w:val="both"/>
      </w:pPr>
      <w:proofErr w:type="spellStart"/>
      <w:r>
        <w:t>Предпосылки</w:t>
      </w:r>
      <w:proofErr w:type="spellEnd"/>
      <w:r>
        <w:t xml:space="preserve"> / </w:t>
      </w:r>
      <w:proofErr w:type="spellStart"/>
      <w:r>
        <w:t>необходимость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ИПКВ ИТ</w:t>
      </w:r>
    </w:p>
    <w:p w:rsidR="00DF73EF" w:rsidRPr="009E568C" w:rsidRDefault="009E568C" w:rsidP="009E568C">
      <w:pPr>
        <w:jc w:val="both"/>
        <w:rPr>
          <w:lang w:val="ru-RU"/>
        </w:rPr>
      </w:pPr>
      <w:r w:rsidRPr="009E568C">
        <w:rPr>
          <w:rFonts w:ascii="Times New Roman" w:eastAsia="Times New Roman" w:hAnsi="Times New Roman" w:cs="Times New Roman"/>
          <w:color w:val="333333"/>
          <w:lang w:val="ru-RU"/>
        </w:rPr>
        <w:t xml:space="preserve">Единая информационно-аналитическая система (ЕИАС) предназначена для автоматизации централизованного сбора и 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>представления аналитической информации по основным сферам деятельности энергосбытовой компании с целью эффективного принятия тактических и стратегических решений бизнес-пользователями системы и предоставления аналитической информации в головные отделения и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 xml:space="preserve"> правительственные организации.</w:t>
      </w:r>
    </w:p>
    <w:p w:rsidR="00DF73EF" w:rsidRPr="009E568C" w:rsidRDefault="009E568C" w:rsidP="009E568C">
      <w:pPr>
        <w:jc w:val="both"/>
        <w:rPr>
          <w:color w:val="333333"/>
          <w:sz w:val="26"/>
          <w:szCs w:val="26"/>
          <w:lang w:val="ru-RU"/>
        </w:rPr>
      </w:pPr>
      <w:r w:rsidRPr="009E568C">
        <w:rPr>
          <w:rFonts w:ascii="Times New Roman" w:eastAsia="Times New Roman" w:hAnsi="Times New Roman" w:cs="Times New Roman"/>
          <w:color w:val="333333"/>
          <w:lang w:val="ru-RU"/>
        </w:rPr>
        <w:t>В 2024 году модернизация системы не проводилась (проект не был включен в состав ИПР 2024-2028). Развернутая информация об архитектуре системы, перечни отчетных форм, моделей и потоков данных и др., применительно к реализации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 xml:space="preserve"> п. 6 Протокола совещания по ИТ в Группе «Интер РАО» в части обеспечения реализации ИАС Центра розничного бизнеса на существующей «платформе управления данными» были направлена корпоративным письмом от 22.12.2023 №ПСК/КП/ГД/686. На данный момент решение о 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>внедрении альтернативной системы не принято.</w:t>
      </w:r>
    </w:p>
    <w:p w:rsidR="00DF73EF" w:rsidRPr="009E568C" w:rsidRDefault="009E568C" w:rsidP="009E568C">
      <w:pPr>
        <w:jc w:val="both"/>
        <w:rPr>
          <w:color w:val="333333"/>
          <w:sz w:val="26"/>
          <w:szCs w:val="26"/>
          <w:lang w:val="ru-RU"/>
        </w:rPr>
      </w:pPr>
      <w:r w:rsidRPr="009E568C">
        <w:rPr>
          <w:rFonts w:ascii="Times New Roman" w:eastAsia="Times New Roman" w:hAnsi="Times New Roman" w:cs="Times New Roman"/>
          <w:color w:val="333333"/>
          <w:lang w:val="ru-RU"/>
        </w:rPr>
        <w:t>Модернизация системы в 2025 году необходима в связи с новыми требованиями бизнес-процессов заказчика и изменениями в системах источниках, в соответствии с новыми требованиями федерального законодательства, а так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>же для приведения системы в соответствие с требованиями информационной безопасности. Основные этапы работ, запланированные к выполнению в 2025 году:</w:t>
      </w:r>
    </w:p>
    <w:p w:rsidR="00DF73EF" w:rsidRPr="009E568C" w:rsidRDefault="009E568C" w:rsidP="009E568C">
      <w:pPr>
        <w:jc w:val="both"/>
        <w:rPr>
          <w:color w:val="333333"/>
          <w:sz w:val="26"/>
          <w:szCs w:val="26"/>
          <w:lang w:val="ru-RU"/>
        </w:rPr>
      </w:pPr>
      <w:r w:rsidRPr="009E568C">
        <w:rPr>
          <w:rFonts w:ascii="Times New Roman" w:eastAsia="Times New Roman" w:hAnsi="Times New Roman" w:cs="Times New Roman"/>
          <w:color w:val="333333"/>
          <w:lang w:val="ru-RU"/>
        </w:rPr>
        <w:t>1.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ab/>
        <w:t>Модернизация ЕИАС в соответствии с новыми требованиями бизнес-процессов заказчика и изменениями в систем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>ах источниках в части ЮЛ (предварительный перечень доработок, имеющиеся ЗНИ и детализации трудозатрат приведены в отдельных файлах) - 3 415 ч/ч.</w:t>
      </w:r>
    </w:p>
    <w:p w:rsidR="00DF73EF" w:rsidRPr="009E568C" w:rsidRDefault="009E568C" w:rsidP="009E568C">
      <w:pPr>
        <w:jc w:val="both"/>
        <w:rPr>
          <w:color w:val="333333"/>
          <w:sz w:val="26"/>
          <w:szCs w:val="26"/>
          <w:lang w:val="ru-RU"/>
        </w:rPr>
      </w:pPr>
      <w:r w:rsidRPr="009E568C">
        <w:rPr>
          <w:rFonts w:ascii="Times New Roman" w:eastAsia="Times New Roman" w:hAnsi="Times New Roman" w:cs="Times New Roman"/>
          <w:color w:val="333333"/>
          <w:lang w:val="ru-RU"/>
        </w:rPr>
        <w:t>2.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ab/>
        <w:t>Модернизация ЕИАС в соответствии с новыми требованиями бизнес-процессов заказчика и изменениями в системах и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>сточниках в части ФЛ (предварительный перечень доработок, имеющиеся ЗНИ и детализации трудозатрат приведены в отдельных файлах) - 6 579 ч/ч.</w:t>
      </w:r>
    </w:p>
    <w:p w:rsidR="00DF73EF" w:rsidRPr="009E568C" w:rsidRDefault="009E568C" w:rsidP="009E568C">
      <w:pPr>
        <w:jc w:val="both"/>
        <w:rPr>
          <w:color w:val="333333"/>
          <w:sz w:val="26"/>
          <w:szCs w:val="26"/>
          <w:lang w:val="ru-RU"/>
        </w:rPr>
      </w:pPr>
      <w:r w:rsidRPr="009E568C">
        <w:rPr>
          <w:rFonts w:ascii="Times New Roman" w:eastAsia="Times New Roman" w:hAnsi="Times New Roman" w:cs="Times New Roman"/>
          <w:color w:val="333333"/>
          <w:lang w:val="ru-RU"/>
        </w:rPr>
        <w:t>3.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ab/>
        <w:t>Анализ защищенности (пентест) Системы – 514 ч/ч.</w:t>
      </w:r>
    </w:p>
    <w:p w:rsidR="00DF73EF" w:rsidRPr="009E568C" w:rsidRDefault="00DF73EF" w:rsidP="009E568C">
      <w:pPr>
        <w:jc w:val="both"/>
        <w:rPr>
          <w:color w:val="333333"/>
          <w:sz w:val="26"/>
          <w:szCs w:val="26"/>
          <w:lang w:val="ru-RU"/>
        </w:rPr>
      </w:pPr>
    </w:p>
    <w:p w:rsidR="00DF73EF" w:rsidRPr="009E568C" w:rsidRDefault="00DF73EF" w:rsidP="009E568C">
      <w:pPr>
        <w:jc w:val="both"/>
        <w:rPr>
          <w:color w:val="333333"/>
          <w:sz w:val="26"/>
          <w:szCs w:val="26"/>
          <w:lang w:val="ru-RU"/>
        </w:rPr>
      </w:pPr>
    </w:p>
    <w:p w:rsidR="00DF73EF" w:rsidRPr="009E568C" w:rsidRDefault="00DF73EF" w:rsidP="009E568C">
      <w:pPr>
        <w:jc w:val="both"/>
        <w:rPr>
          <w:color w:val="333333"/>
          <w:sz w:val="26"/>
          <w:szCs w:val="26"/>
          <w:lang w:val="ru-RU"/>
        </w:rPr>
      </w:pPr>
    </w:p>
    <w:p w:rsidR="00DF73EF" w:rsidRPr="009E568C" w:rsidRDefault="00DF73EF" w:rsidP="009E568C">
      <w:pPr>
        <w:jc w:val="both"/>
        <w:rPr>
          <w:color w:val="333333"/>
          <w:sz w:val="26"/>
          <w:szCs w:val="26"/>
          <w:lang w:val="ru-RU"/>
        </w:rPr>
      </w:pPr>
    </w:p>
    <w:p w:rsidR="00DF73EF" w:rsidRDefault="009E568C" w:rsidP="009E568C">
      <w:pPr>
        <w:pStyle w:val="2"/>
        <w:numPr>
          <w:ilvl w:val="1"/>
          <w:numId w:val="1"/>
        </w:numPr>
        <w:jc w:val="both"/>
      </w:pPr>
      <w:proofErr w:type="spellStart"/>
      <w:r>
        <w:lastRenderedPageBreak/>
        <w:t>Цель</w:t>
      </w:r>
      <w:proofErr w:type="spellEnd"/>
      <w:r>
        <w:t xml:space="preserve"> ИПКВ ИТ</w:t>
      </w:r>
    </w:p>
    <w:p w:rsidR="00DF73EF" w:rsidRPr="009E568C" w:rsidRDefault="009E568C" w:rsidP="009E568C">
      <w:pPr>
        <w:jc w:val="both"/>
        <w:rPr>
          <w:lang w:val="ru-RU"/>
        </w:rPr>
      </w:pPr>
      <w:r w:rsidRPr="009E568C">
        <w:rPr>
          <w:lang w:val="ru-RU"/>
        </w:rPr>
        <w:t>Работы по модернизации ЕИАС позволят существен</w:t>
      </w:r>
      <w:r w:rsidRPr="009E568C">
        <w:rPr>
          <w:lang w:val="ru-RU"/>
        </w:rPr>
        <w:t>ным образом расширить функциональные возможности эксплуатируемой в АО «Петербургская сбытовая компания» системы, повысить информативность аналитических данных, снизить объем ручных операций.</w:t>
      </w:r>
    </w:p>
    <w:p w:rsidR="00DF73EF" w:rsidRDefault="009E568C" w:rsidP="009E568C">
      <w:pPr>
        <w:pStyle w:val="2"/>
        <w:numPr>
          <w:ilvl w:val="1"/>
          <w:numId w:val="1"/>
        </w:numPr>
        <w:jc w:val="both"/>
      </w:pPr>
      <w:proofErr w:type="spellStart"/>
      <w:r>
        <w:t>Технические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 xml:space="preserve"> ИПКВ ИТ</w:t>
      </w:r>
    </w:p>
    <w:p w:rsidR="00DF73EF" w:rsidRPr="009E568C" w:rsidRDefault="009E568C" w:rsidP="009E568C">
      <w:pPr>
        <w:jc w:val="both"/>
        <w:rPr>
          <w:lang w:val="ru-RU"/>
        </w:rPr>
      </w:pPr>
      <w:r w:rsidRPr="009E568C">
        <w:rPr>
          <w:rFonts w:ascii="Times New Roman" w:eastAsia="Times New Roman" w:hAnsi="Times New Roman" w:cs="Times New Roman"/>
          <w:color w:val="333333"/>
          <w:lang w:val="ru-RU"/>
        </w:rPr>
        <w:t xml:space="preserve">Реализация проекта планируется путем 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 xml:space="preserve">заключения договора с единственным поставщиком - ООО «СИГМА», которое как разработчик программных продуктов, обладает уникальными знаниями существенных особенностей и условий эксплуатации ПО и способностью последующей доработки и сопровождения данных </w:t>
      </w:r>
      <w:bookmarkStart w:id="0" w:name="_GoBack"/>
      <w:bookmarkEnd w:id="0"/>
      <w:r w:rsidRPr="009E568C">
        <w:rPr>
          <w:rFonts w:ascii="Times New Roman" w:eastAsia="Times New Roman" w:hAnsi="Times New Roman" w:cs="Times New Roman"/>
          <w:color w:val="333333"/>
          <w:lang w:val="ru-RU"/>
        </w:rPr>
        <w:t>прогр</w:t>
      </w:r>
      <w:r w:rsidRPr="009E568C">
        <w:rPr>
          <w:rFonts w:ascii="Times New Roman" w:eastAsia="Times New Roman" w:hAnsi="Times New Roman" w:cs="Times New Roman"/>
          <w:color w:val="333333"/>
          <w:lang w:val="ru-RU"/>
        </w:rPr>
        <w:t>аммных продуктов. Ввиду вышеизложенного объявление конкурсных процедур нецелесообразно.</w:t>
      </w:r>
    </w:p>
    <w:p w:rsidR="00DF73EF" w:rsidRPr="009E568C" w:rsidRDefault="00DF73EF" w:rsidP="009E568C">
      <w:pPr>
        <w:jc w:val="both"/>
        <w:rPr>
          <w:color w:val="333333"/>
          <w:sz w:val="26"/>
          <w:szCs w:val="26"/>
          <w:lang w:val="ru-RU"/>
        </w:rPr>
      </w:pPr>
    </w:p>
    <w:p w:rsidR="00DF73EF" w:rsidRPr="009E568C" w:rsidRDefault="009E568C" w:rsidP="009E568C">
      <w:pPr>
        <w:jc w:val="both"/>
        <w:rPr>
          <w:color w:val="333333"/>
          <w:sz w:val="26"/>
          <w:szCs w:val="26"/>
          <w:lang w:val="ru-RU"/>
        </w:rPr>
      </w:pPr>
      <w:r w:rsidRPr="009E568C">
        <w:rPr>
          <w:rFonts w:ascii="Times New Roman" w:eastAsia="Times New Roman" w:hAnsi="Times New Roman" w:cs="Times New Roman"/>
          <w:color w:val="333333"/>
          <w:lang w:val="ru-RU"/>
        </w:rPr>
        <w:t>Расчет стоимости проекта выполнен согласно рекомендациям ЦРБ, письмо №ИН/КП/ОД/125 от 21.08.2024 и КП от Сигма.</w:t>
      </w:r>
    </w:p>
    <w:p w:rsidR="00DF73EF" w:rsidRPr="009E568C" w:rsidRDefault="00DF73EF" w:rsidP="009E568C">
      <w:pPr>
        <w:jc w:val="both"/>
        <w:rPr>
          <w:color w:val="333333"/>
          <w:sz w:val="26"/>
          <w:szCs w:val="26"/>
          <w:lang w:val="ru-RU"/>
        </w:rPr>
      </w:pPr>
    </w:p>
    <w:p w:rsidR="00DF73EF" w:rsidRPr="009E568C" w:rsidRDefault="00DF73EF">
      <w:pPr>
        <w:rPr>
          <w:color w:val="333333"/>
          <w:sz w:val="26"/>
          <w:szCs w:val="26"/>
          <w:lang w:val="ru-RU"/>
        </w:rPr>
      </w:pPr>
    </w:p>
    <w:p w:rsidR="00DF73EF" w:rsidRPr="009E568C" w:rsidRDefault="00DF73EF">
      <w:pPr>
        <w:rPr>
          <w:color w:val="333333"/>
          <w:sz w:val="26"/>
          <w:szCs w:val="26"/>
          <w:lang w:val="ru-RU"/>
        </w:rPr>
      </w:pPr>
    </w:p>
    <w:p w:rsidR="00DF73EF" w:rsidRPr="009E568C" w:rsidRDefault="00DF73EF">
      <w:pPr>
        <w:rPr>
          <w:color w:val="333333"/>
          <w:sz w:val="26"/>
          <w:szCs w:val="26"/>
          <w:lang w:val="ru-RU"/>
        </w:rPr>
      </w:pPr>
    </w:p>
    <w:p w:rsidR="00DF73EF" w:rsidRDefault="009E568C">
      <w:pPr>
        <w:pStyle w:val="2"/>
        <w:numPr>
          <w:ilvl w:val="1"/>
          <w:numId w:val="1"/>
        </w:numPr>
      </w:pPr>
      <w:proofErr w:type="spellStart"/>
      <w:r>
        <w:t>Дополнительная</w:t>
      </w:r>
      <w:proofErr w:type="spellEnd"/>
      <w:r>
        <w:t xml:space="preserve"> </w:t>
      </w:r>
      <w:proofErr w:type="spellStart"/>
      <w:r>
        <w:t>информация</w:t>
      </w:r>
      <w:proofErr w:type="spellEnd"/>
    </w:p>
    <w:p w:rsidR="00DF73EF" w:rsidRPr="009E568C" w:rsidRDefault="009E568C">
      <w:pPr>
        <w:rPr>
          <w:lang w:val="ru-RU"/>
        </w:rPr>
      </w:pPr>
      <w:r w:rsidRPr="009E568C">
        <w:rPr>
          <w:lang w:val="ru-RU"/>
        </w:rPr>
        <w:t>Данный ИПКВ не включён в стратегические документы компании.</w:t>
      </w:r>
    </w:p>
    <w:p w:rsidR="00DF73EF" w:rsidRDefault="009E568C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DF73EF" w:rsidRPr="009E568C" w:rsidRDefault="009E568C">
      <w:pPr>
        <w:pStyle w:val="Normalparagraph"/>
        <w:rPr>
          <w:lang w:val="ru-RU"/>
        </w:rPr>
      </w:pPr>
      <w:r w:rsidRPr="009E568C">
        <w:rPr>
          <w:lang w:val="ru-RU"/>
        </w:rPr>
        <w:t>Начало выполнения работ - 1 квартал 2025 г.</w:t>
      </w:r>
    </w:p>
    <w:p w:rsidR="00DF73EF" w:rsidRPr="009E568C" w:rsidRDefault="009E568C">
      <w:pPr>
        <w:pStyle w:val="Normalparagraph"/>
        <w:spacing w:before="57"/>
        <w:rPr>
          <w:lang w:val="ru-RU"/>
        </w:rPr>
      </w:pPr>
      <w:r w:rsidRPr="009E568C">
        <w:rPr>
          <w:lang w:val="ru-RU"/>
        </w:rPr>
        <w:t>Завершение работ - 4 квартал 2025 г.</w:t>
      </w:r>
    </w:p>
    <w:p w:rsidR="00DF73EF" w:rsidRPr="009E568C" w:rsidRDefault="009E568C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9E568C">
        <w:rPr>
          <w:b/>
          <w:bCs/>
          <w:sz w:val="22"/>
          <w:lang w:val="ru-RU"/>
        </w:rPr>
        <w:t>Таблица 1.</w:t>
      </w:r>
    </w:p>
    <w:p w:rsidR="00DF73EF" w:rsidRPr="009E568C" w:rsidRDefault="009E568C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9E568C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DF73EF" w:rsidRDefault="009E568C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DF73EF" w:rsidRDefault="009E568C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DF73EF" w:rsidRPr="009E5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DF73EF" w:rsidRPr="009E568C" w:rsidRDefault="009E568C">
            <w:pPr>
              <w:pStyle w:val="16"/>
              <w:rPr>
                <w:lang w:val="ru-RU"/>
              </w:rPr>
            </w:pPr>
            <w:r w:rsidRPr="009E568C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DF73EF" w:rsidRDefault="009E568C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DF73EF" w:rsidRDefault="009E568C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DF73EF" w:rsidRDefault="009E568C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DF73EF" w:rsidRDefault="009E568C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DF73EF" w:rsidRDefault="009E568C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DF73EF" w:rsidRDefault="009E568C">
            <w:pPr>
              <w:pStyle w:val="15"/>
            </w:pPr>
            <w:r>
              <w:t>33 836</w:t>
            </w:r>
          </w:p>
        </w:tc>
        <w:tc>
          <w:tcPr>
            <w:tcW w:w="1191" w:type="dxa"/>
            <w:vMerge w:val="restart"/>
            <w:noWrap/>
          </w:tcPr>
          <w:p w:rsidR="00DF73EF" w:rsidRDefault="009E568C">
            <w:pPr>
              <w:pStyle w:val="15"/>
            </w:pPr>
            <w:r>
              <w:t>33 836</w:t>
            </w:r>
          </w:p>
        </w:tc>
      </w:tr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DF73EF" w:rsidRDefault="009E568C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>33 836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>33 836</w:t>
            </w:r>
          </w:p>
        </w:tc>
      </w:tr>
      <w:tr w:rsidR="00DF73EF" w:rsidRPr="009E5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DF73EF" w:rsidRPr="009E568C" w:rsidRDefault="009E568C">
            <w:pPr>
              <w:pStyle w:val="16"/>
              <w:rPr>
                <w:bCs/>
                <w:lang w:val="ru-RU"/>
              </w:rPr>
            </w:pPr>
            <w:r w:rsidRPr="009E568C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DF73EF" w:rsidRDefault="009E568C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DF73EF" w:rsidRDefault="00DF73EF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DF73EF" w:rsidRDefault="00DF73EF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DF73EF" w:rsidRDefault="00DF73EF">
            <w:pPr>
              <w:pStyle w:val="15"/>
              <w:rPr>
                <w:bCs/>
              </w:rPr>
            </w:pPr>
          </w:p>
        </w:tc>
      </w:tr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DF73EF" w:rsidRDefault="009E568C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>33 836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>33 836</w:t>
            </w:r>
          </w:p>
        </w:tc>
      </w:tr>
    </w:tbl>
    <w:p w:rsidR="00DF73EF" w:rsidRDefault="00DF73EF"/>
    <w:p w:rsidR="00DF73EF" w:rsidRDefault="009E568C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DF73EF" w:rsidRPr="009E568C" w:rsidRDefault="009E568C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9E568C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DF73EF" w:rsidRDefault="009E568C">
            <w:pPr>
              <w:pStyle w:val="14"/>
            </w:pPr>
            <w:r>
              <w:lastRenderedPageBreak/>
              <w:t>№</w:t>
            </w:r>
          </w:p>
        </w:tc>
        <w:tc>
          <w:tcPr>
            <w:tcW w:w="1750" w:type="pct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DF73EF" w:rsidRDefault="009E568C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DF73EF" w:rsidRDefault="009E568C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DF73EF" w:rsidRPr="009E5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DF73EF" w:rsidRPr="009E568C" w:rsidRDefault="009E568C">
            <w:pPr>
              <w:pStyle w:val="16"/>
              <w:rPr>
                <w:lang w:val="ru-RU"/>
              </w:rPr>
            </w:pPr>
            <w:r w:rsidRPr="009E568C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DF73EF" w:rsidRDefault="009E568C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DF73EF" w:rsidRDefault="009E568C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DF73EF" w:rsidRDefault="009E568C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DF73EF" w:rsidRDefault="009E568C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DF73EF" w:rsidRDefault="009E568C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DF73EF" w:rsidRDefault="009E568C">
            <w:pPr>
              <w:pStyle w:val="15"/>
            </w:pPr>
            <w:r>
              <w:t>40 603</w:t>
            </w:r>
          </w:p>
        </w:tc>
        <w:tc>
          <w:tcPr>
            <w:tcW w:w="1191" w:type="dxa"/>
            <w:vMerge w:val="restart"/>
            <w:noWrap/>
          </w:tcPr>
          <w:p w:rsidR="00DF73EF" w:rsidRDefault="009E568C">
            <w:pPr>
              <w:pStyle w:val="15"/>
            </w:pPr>
            <w:r>
              <w:t>40 603</w:t>
            </w:r>
          </w:p>
        </w:tc>
      </w:tr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DF73EF" w:rsidRDefault="009E568C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>40 603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>40 603</w:t>
            </w:r>
          </w:p>
        </w:tc>
      </w:tr>
      <w:tr w:rsidR="00DF73EF" w:rsidRPr="009E5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DF73EF" w:rsidRPr="009E568C" w:rsidRDefault="009E568C">
            <w:pPr>
              <w:pStyle w:val="16"/>
              <w:rPr>
                <w:bCs/>
                <w:lang w:val="ru-RU"/>
              </w:rPr>
            </w:pPr>
            <w:r w:rsidRPr="009E568C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DF73EF" w:rsidRDefault="009E568C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DF73EF" w:rsidRDefault="00DF73EF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DF73EF" w:rsidRDefault="00DF73EF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DF73EF" w:rsidRDefault="00DF73EF">
            <w:pPr>
              <w:pStyle w:val="15"/>
              <w:rPr>
                <w:bCs/>
              </w:rPr>
            </w:pPr>
          </w:p>
        </w:tc>
      </w:tr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DF73EF" w:rsidRDefault="009E568C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>40 603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DF73EF" w:rsidRDefault="009E568C">
            <w:pPr>
              <w:pStyle w:val="15"/>
              <w:rPr>
                <w:bCs/>
              </w:rPr>
            </w:pPr>
            <w:r>
              <w:rPr>
                <w:bCs/>
              </w:rPr>
              <w:t>40 603</w:t>
            </w:r>
          </w:p>
        </w:tc>
      </w:tr>
    </w:tbl>
    <w:p w:rsidR="00DF73EF" w:rsidRDefault="00DF73EF"/>
    <w:p w:rsidR="00DF73EF" w:rsidRDefault="009E568C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DF73EF" w:rsidRDefault="009E568C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DF73EF" w:rsidRDefault="009E568C">
            <w:pPr>
              <w:pStyle w:val="14"/>
            </w:pPr>
            <w:r>
              <w:t>КЛЮЧЕВЫЕ КОНТРОЛЬНЫЕ ТОЧКИ</w:t>
            </w:r>
          </w:p>
        </w:tc>
      </w:tr>
      <w:tr w:rsidR="00DF7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DF73EF" w:rsidRDefault="009E568C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DF73EF" w:rsidRDefault="009E568C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DF73EF" w:rsidRDefault="009E568C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DF73EF" w:rsidRDefault="00DF73EF"/>
    <w:p w:rsidR="00DF73EF" w:rsidRDefault="009E568C">
      <w:pPr>
        <w:pStyle w:val="1"/>
        <w:numPr>
          <w:ilvl w:val="0"/>
          <w:numId w:val="1"/>
        </w:numPr>
      </w:pPr>
      <w:r>
        <w:t>КОНТАКТНОЕ ЛИЦО</w:t>
      </w:r>
    </w:p>
    <w:p w:rsidR="00DF73EF" w:rsidRDefault="009E568C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DF73EF" w:rsidRDefault="009E568C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DF73EF" w:rsidRDefault="009E568C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DF73EF" w:rsidRPr="009E568C" w:rsidRDefault="009E568C">
      <w:pPr>
        <w:pStyle w:val="Normalparagraph"/>
        <w:spacing w:before="283" w:after="113"/>
        <w:rPr>
          <w:lang w:val="ru-RU"/>
        </w:rPr>
      </w:pPr>
      <w:r w:rsidRPr="009E568C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DF73EF" w:rsidRPr="009E568C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3EF" w:rsidRDefault="009E568C">
      <w:r>
        <w:separator/>
      </w:r>
    </w:p>
  </w:endnote>
  <w:endnote w:type="continuationSeparator" w:id="0">
    <w:p w:rsidR="00DF73EF" w:rsidRDefault="009E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3EF" w:rsidRDefault="009E568C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3EF" w:rsidRDefault="009E568C">
      <w:r>
        <w:separator/>
      </w:r>
    </w:p>
  </w:footnote>
  <w:footnote w:type="continuationSeparator" w:id="0">
    <w:p w:rsidR="00DF73EF" w:rsidRDefault="009E5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2C7D"/>
    <w:multiLevelType w:val="multilevel"/>
    <w:tmpl w:val="C42E92B4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3EF"/>
    <w:rsid w:val="009E568C"/>
    <w:rsid w:val="00D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85914-7AAE-4D92-B892-16B3E3FD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2025-03-28T15:50:00Z</dcterms:created>
  <dcterms:modified xsi:type="dcterms:W3CDTF">2025-03-28T15:51:00Z</dcterms:modified>
</cp:coreProperties>
</file>